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Klippan kommunfullmäktige</w:t>
      </w:r>
    </w:p>
    <w:p>
      <w:pPr>
        <w:pStyle w:val="Heading1"/>
      </w:pPr>
      <w:r>
        <w:t xml:space="preserve">Stöd till skolor i utsatta områden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Klippan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Meritvärdet i Perstorp-området ligger 25 poäng under kommunsnittet (Kolada 2024). Socioekonomiska utmaningar kräver riktade insatser för likvärdighet.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Klippan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tilldela 3 mnkr extra till skolor med låg socioekonomisk status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anställa två extra speciallärare i Perstorp-området.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läxhjälp och lovskola som permanent verksamhet.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resultaten årligen i barn- och utbildningsnämnden.</w:t>
      </w:r>
    </w:p>
    <w:p>
      <w:pPr>
        <w:spacing w:before="360"/>
      </w:pPr>
    </w:p>
    <w:p>
      <w:r>
        <w:t xml:space="preserve">Klippan,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Klippan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2026-07-14T00:28:00.683Z</dcterms:created>
  <dcterms:modified xsi:type="dcterms:W3CDTF">2026-07-14T00:28:00.683Z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